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A5060D">
        <w:rPr>
          <w:rFonts w:ascii="Arial" w:hAnsi="Arial" w:cs="Arial"/>
          <w:b/>
        </w:rPr>
        <w:t>Konecchlumí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5060D">
        <w:rPr>
          <w:rFonts w:ascii="Arial" w:hAnsi="Arial" w:cs="Arial"/>
          <w:b/>
        </w:rPr>
        <w:t>Konecchlumí</w:t>
      </w:r>
    </w:p>
    <w:p w:rsidR="000162E5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A5060D">
        <w:rPr>
          <w:rFonts w:ascii="Arial" w:hAnsi="Arial" w:cs="Arial"/>
          <w:b/>
        </w:rPr>
        <w:t>Konecchlumí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č. </w:t>
      </w:r>
      <w:r w:rsidR="00A5060D">
        <w:rPr>
          <w:rFonts w:ascii="Arial" w:hAnsi="Arial" w:cs="Arial"/>
          <w:b/>
        </w:rPr>
        <w:t>3</w:t>
      </w:r>
      <w:r w:rsidRPr="002E0EAD">
        <w:rPr>
          <w:rFonts w:ascii="Arial" w:hAnsi="Arial" w:cs="Arial"/>
          <w:b/>
        </w:rPr>
        <w:t>/20</w:t>
      </w:r>
      <w:r w:rsidR="00E16A6F">
        <w:rPr>
          <w:rFonts w:ascii="Arial" w:hAnsi="Arial" w:cs="Arial"/>
          <w:b/>
        </w:rPr>
        <w:t>20</w:t>
      </w:r>
      <w:r w:rsidR="00A5060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DB76C7">
      <w:pPr>
        <w:pStyle w:val="nzevzkona"/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5060D">
        <w:rPr>
          <w:rFonts w:ascii="Arial" w:hAnsi="Arial" w:cs="Arial"/>
          <w:b w:val="0"/>
          <w:sz w:val="22"/>
          <w:szCs w:val="22"/>
        </w:rPr>
        <w:t>Konecchlumí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A5060D">
        <w:rPr>
          <w:rFonts w:ascii="Arial" w:hAnsi="Arial" w:cs="Arial"/>
          <w:b w:val="0"/>
          <w:sz w:val="22"/>
          <w:szCs w:val="22"/>
        </w:rPr>
        <w:t>13.12.2019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0162E5">
        <w:rPr>
          <w:rFonts w:ascii="Arial" w:hAnsi="Arial" w:cs="Arial"/>
          <w:b w:val="0"/>
          <w:sz w:val="22"/>
          <w:szCs w:val="22"/>
        </w:rPr>
        <w:t> </w:t>
      </w:r>
      <w:r w:rsidR="00A5060D">
        <w:rPr>
          <w:rFonts w:ascii="Arial" w:hAnsi="Arial" w:cs="Arial"/>
          <w:b w:val="0"/>
          <w:sz w:val="22"/>
          <w:szCs w:val="22"/>
        </w:rPr>
        <w:t xml:space="preserve">10/19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0162E5"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</w:t>
      </w:r>
      <w:r w:rsidR="000162E5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162E5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</w:t>
      </w:r>
      <w:r w:rsidR="000162E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5060D">
        <w:rPr>
          <w:rFonts w:ascii="Arial" w:hAnsi="Arial" w:cs="Arial"/>
          <w:sz w:val="22"/>
          <w:szCs w:val="22"/>
        </w:rPr>
        <w:t>Konecchlumí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</w:t>
      </w:r>
      <w:r w:rsidR="00CC3E8C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A5060D">
        <w:rPr>
          <w:rFonts w:ascii="Arial" w:hAnsi="Arial" w:cs="Arial"/>
          <w:sz w:val="22"/>
          <w:szCs w:val="22"/>
        </w:rPr>
        <w:t>Konecchlumí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:rsidR="004C0427" w:rsidRPr="002E0EAD" w:rsidRDefault="009F75C6" w:rsidP="00826D2C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9820E8">
        <w:rPr>
          <w:rFonts w:ascii="Arial" w:hAnsi="Arial" w:cs="Arial"/>
          <w:sz w:val="22"/>
          <w:szCs w:val="22"/>
        </w:rPr>
        <w:t> </w:t>
      </w:r>
      <w:r w:rsidR="00826D2C" w:rsidRPr="002E0EAD">
        <w:rPr>
          <w:rFonts w:ascii="Arial" w:hAnsi="Arial" w:cs="Arial"/>
          <w:sz w:val="22"/>
          <w:szCs w:val="22"/>
        </w:rPr>
        <w:t>obci</w:t>
      </w:r>
      <w:r w:rsidR="009820E8">
        <w:rPr>
          <w:rFonts w:ascii="Arial" w:hAnsi="Arial" w:cs="Arial"/>
          <w:sz w:val="22"/>
          <w:szCs w:val="22"/>
        </w:rPr>
        <w:t>,</w:t>
      </w:r>
    </w:p>
    <w:p w:rsidR="00131160" w:rsidRPr="002E0EAD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fyzická osoba, </w:t>
      </w:r>
      <w:r w:rsidR="004C0427" w:rsidRPr="002E0EAD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2E0EAD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2E0EAD">
        <w:rPr>
          <w:rFonts w:ascii="Arial" w:hAnsi="Arial" w:cs="Arial"/>
          <w:sz w:val="22"/>
          <w:szCs w:val="22"/>
        </w:rPr>
        <w:t>správci poplatku</w:t>
      </w:r>
      <w:r w:rsidRPr="002E0EAD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  <w:r w:rsidR="000566F2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E7ED9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 w:rsidR="00A5060D">
        <w:rPr>
          <w:rFonts w:ascii="Arial" w:hAnsi="Arial" w:cs="Arial"/>
          <w:sz w:val="22"/>
          <w:szCs w:val="22"/>
        </w:rPr>
        <w:t xml:space="preserve">30 </w:t>
      </w:r>
      <w:r w:rsidRPr="002E0EAD">
        <w:rPr>
          <w:rFonts w:ascii="Arial" w:hAnsi="Arial" w:cs="Arial"/>
          <w:sz w:val="22"/>
          <w:szCs w:val="22"/>
        </w:rPr>
        <w:t>dnů</w:t>
      </w:r>
      <w:r w:rsidR="007E7ED9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B71306" w:rsidRPr="002E0EAD">
        <w:rPr>
          <w:rFonts w:ascii="Arial" w:hAnsi="Arial" w:cs="Arial"/>
          <w:sz w:val="22"/>
          <w:szCs w:val="22"/>
        </w:rPr>
        <w:t>, kdy mu povinnos</w:t>
      </w:r>
      <w:r w:rsidR="00C31C1A" w:rsidRPr="002E0EAD">
        <w:rPr>
          <w:rFonts w:ascii="Arial" w:hAnsi="Arial" w:cs="Arial"/>
          <w:sz w:val="22"/>
          <w:szCs w:val="22"/>
        </w:rPr>
        <w:t xml:space="preserve">t platit tento poplatek vznikla, případně doložit existenci skutečností zakládajících </w:t>
      </w:r>
      <w:r w:rsidR="000345D5" w:rsidRPr="002E0EAD">
        <w:rPr>
          <w:rFonts w:ascii="Arial" w:hAnsi="Arial" w:cs="Arial"/>
          <w:sz w:val="22"/>
          <w:szCs w:val="22"/>
        </w:rPr>
        <w:t xml:space="preserve">nárok na </w:t>
      </w:r>
      <w:r w:rsidR="00C31C1A" w:rsidRPr="0079131E">
        <w:rPr>
          <w:rFonts w:ascii="Arial" w:hAnsi="Arial" w:cs="Arial"/>
          <w:sz w:val="22"/>
          <w:szCs w:val="22"/>
        </w:rPr>
        <w:t>osvobození</w:t>
      </w:r>
      <w:r w:rsidR="00C31C1A" w:rsidRPr="002E0EAD">
        <w:rPr>
          <w:rFonts w:ascii="Arial" w:hAnsi="Arial" w:cs="Arial"/>
          <w:sz w:val="22"/>
          <w:szCs w:val="22"/>
        </w:rPr>
        <w:t xml:space="preserve"> od </w:t>
      </w:r>
      <w:r w:rsidR="000345D5" w:rsidRPr="002E0EAD">
        <w:rPr>
          <w:rFonts w:ascii="Arial" w:hAnsi="Arial" w:cs="Arial"/>
          <w:sz w:val="22"/>
          <w:szCs w:val="22"/>
        </w:rPr>
        <w:t>poplatku</w:t>
      </w:r>
      <w:r w:rsidR="00C31C1A" w:rsidRPr="002E0EAD">
        <w:rPr>
          <w:rFonts w:ascii="Arial" w:hAnsi="Arial" w:cs="Arial"/>
          <w:sz w:val="22"/>
          <w:szCs w:val="22"/>
        </w:rPr>
        <w:t xml:space="preserve">. </w:t>
      </w:r>
    </w:p>
    <w:p w:rsidR="007D7D86" w:rsidRPr="002E0EAD" w:rsidRDefault="00F41241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Poplatník dle čl. 2 </w:t>
      </w:r>
      <w:r w:rsidR="00D50DA9" w:rsidRPr="002E0EAD">
        <w:rPr>
          <w:rFonts w:ascii="Arial" w:hAnsi="Arial" w:cs="Arial"/>
          <w:sz w:val="22"/>
          <w:szCs w:val="22"/>
        </w:rPr>
        <w:t>odst. 1</w:t>
      </w:r>
      <w:r w:rsidRPr="002E0EAD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2E0EAD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2E0EAD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2E0EAD">
        <w:rPr>
          <w:rFonts w:ascii="Arial" w:hAnsi="Arial" w:cs="Arial"/>
          <w:sz w:val="22"/>
          <w:szCs w:val="22"/>
        </w:rPr>
        <w:t>přihlášení</w:t>
      </w:r>
      <w:r w:rsidR="00E55843" w:rsidRPr="002E0EAD">
        <w:rPr>
          <w:rFonts w:ascii="Arial" w:hAnsi="Arial" w:cs="Arial"/>
          <w:sz w:val="22"/>
          <w:szCs w:val="22"/>
        </w:rPr>
        <w:t>, popřípadě další adresy pro doručování.</w:t>
      </w:r>
    </w:p>
    <w:p w:rsidR="00F41241" w:rsidRPr="002E0EAD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 w:rsidR="00362A72"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2E0EAD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2E0EAD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2E0EAD">
        <w:rPr>
          <w:rFonts w:ascii="Arial" w:hAnsi="Arial" w:cs="Arial"/>
          <w:sz w:val="22"/>
          <w:szCs w:val="22"/>
        </w:rPr>
        <w:t xml:space="preserve"> </w:t>
      </w:r>
      <w:r w:rsidR="005867F5" w:rsidRPr="002E0EAD">
        <w:rPr>
          <w:rFonts w:ascii="Arial" w:hAnsi="Arial" w:cs="Arial"/>
          <w:sz w:val="22"/>
          <w:szCs w:val="22"/>
        </w:rPr>
        <w:t>není-li</w:t>
      </w:r>
      <w:r w:rsidR="00F41241" w:rsidRPr="002E0EAD">
        <w:rPr>
          <w:rFonts w:ascii="Arial" w:hAnsi="Arial" w:cs="Arial"/>
          <w:sz w:val="22"/>
          <w:szCs w:val="22"/>
        </w:rPr>
        <w:t xml:space="preserve"> stavba</w:t>
      </w:r>
      <w:r w:rsidR="00FE34F1" w:rsidRPr="002E0EAD">
        <w:rPr>
          <w:rFonts w:ascii="Arial" w:hAnsi="Arial" w:cs="Arial"/>
          <w:sz w:val="22"/>
          <w:szCs w:val="22"/>
        </w:rPr>
        <w:t xml:space="preserve"> </w:t>
      </w:r>
      <w:r w:rsidR="00D50DA9" w:rsidRPr="002E0EAD">
        <w:rPr>
          <w:rFonts w:ascii="Arial" w:hAnsi="Arial" w:cs="Arial"/>
          <w:sz w:val="22"/>
          <w:szCs w:val="22"/>
        </w:rPr>
        <w:t>nebo dům označen</w:t>
      </w:r>
      <w:r w:rsidR="00E86AD7" w:rsidRPr="002E0EAD">
        <w:rPr>
          <w:rFonts w:ascii="Arial" w:hAnsi="Arial" w:cs="Arial"/>
          <w:sz w:val="22"/>
          <w:szCs w:val="22"/>
        </w:rPr>
        <w:t>a</w:t>
      </w:r>
      <w:r w:rsidR="00F41241" w:rsidRPr="002E0EAD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2E0EAD">
        <w:rPr>
          <w:rFonts w:ascii="Arial" w:hAnsi="Arial" w:cs="Arial"/>
          <w:sz w:val="22"/>
          <w:szCs w:val="22"/>
        </w:rPr>
        <w:t>, uvede poplatník</w:t>
      </w:r>
      <w:r w:rsidR="00F41241" w:rsidRPr="002E0EAD">
        <w:rPr>
          <w:rFonts w:ascii="Arial" w:hAnsi="Arial" w:cs="Arial"/>
          <w:sz w:val="22"/>
          <w:szCs w:val="22"/>
        </w:rPr>
        <w:t xml:space="preserve"> </w:t>
      </w:r>
      <w:r w:rsidR="00DC09AE" w:rsidRPr="002E0EAD">
        <w:rPr>
          <w:rFonts w:ascii="Arial" w:hAnsi="Arial" w:cs="Arial"/>
          <w:sz w:val="22"/>
          <w:szCs w:val="22"/>
        </w:rPr>
        <w:t xml:space="preserve">parcelní </w:t>
      </w:r>
      <w:r w:rsidR="00F41241" w:rsidRPr="002E0EAD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2E0EAD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2E0EAD">
        <w:rPr>
          <w:rFonts w:ascii="Arial" w:hAnsi="Arial" w:cs="Arial"/>
          <w:sz w:val="22"/>
          <w:szCs w:val="22"/>
        </w:rPr>
        <w:t>,</w:t>
      </w:r>
      <w:r w:rsidR="00FE34F1" w:rsidRPr="002E0EAD">
        <w:rPr>
          <w:rFonts w:ascii="Arial" w:hAnsi="Arial" w:cs="Arial"/>
          <w:sz w:val="22"/>
          <w:szCs w:val="22"/>
        </w:rPr>
        <w:t xml:space="preserve"> a číslo bytu, </w:t>
      </w:r>
      <w:r w:rsidR="00DC09AE" w:rsidRPr="002E0EAD">
        <w:rPr>
          <w:rFonts w:ascii="Arial" w:hAnsi="Arial" w:cs="Arial"/>
          <w:sz w:val="22"/>
          <w:szCs w:val="22"/>
        </w:rPr>
        <w:t>popřípadě popis</w:t>
      </w:r>
      <w:r w:rsidR="00FE34F1" w:rsidRPr="002E0EAD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2E0EAD" w:rsidRDefault="00576D09" w:rsidP="008D690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2E0EAD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2E0EAD">
        <w:rPr>
          <w:rFonts w:ascii="Arial" w:hAnsi="Arial" w:cs="Arial"/>
          <w:sz w:val="22"/>
          <w:szCs w:val="22"/>
        </w:rPr>
        <w:t>přihlášení</w:t>
      </w:r>
      <w:r w:rsidR="009E26C9" w:rsidRPr="002E0EAD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2E0EAD">
        <w:rPr>
          <w:rFonts w:ascii="Arial" w:hAnsi="Arial" w:cs="Arial"/>
          <w:sz w:val="22"/>
          <w:szCs w:val="22"/>
        </w:rPr>
        <w:t>k individuál</w:t>
      </w:r>
      <w:r w:rsidR="00947AC1" w:rsidRPr="002E0EAD">
        <w:rPr>
          <w:rFonts w:ascii="Arial" w:hAnsi="Arial" w:cs="Arial"/>
          <w:sz w:val="22"/>
          <w:szCs w:val="22"/>
        </w:rPr>
        <w:t>ní rekreaci, bytu nebo rodinnému</w:t>
      </w:r>
      <w:r w:rsidR="005867F5" w:rsidRPr="002E0EAD">
        <w:rPr>
          <w:rFonts w:ascii="Arial" w:hAnsi="Arial" w:cs="Arial"/>
          <w:sz w:val="22"/>
          <w:szCs w:val="22"/>
        </w:rPr>
        <w:t xml:space="preserve"> domu.</w:t>
      </w:r>
    </w:p>
    <w:p w:rsidR="008560D9" w:rsidRPr="002E0EAD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79131E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AF11D4" w:rsidRDefault="00AF11D4" w:rsidP="00AF11D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131160" w:rsidRPr="002E0EAD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A5060D">
        <w:rPr>
          <w:rFonts w:ascii="Arial" w:hAnsi="Arial" w:cs="Arial"/>
          <w:sz w:val="22"/>
          <w:szCs w:val="22"/>
        </w:rPr>
        <w:t>600</w:t>
      </w:r>
      <w:r w:rsidRPr="002E0EAD">
        <w:rPr>
          <w:rFonts w:ascii="Arial" w:hAnsi="Arial" w:cs="Arial"/>
          <w:sz w:val="22"/>
          <w:szCs w:val="22"/>
        </w:rPr>
        <w:t xml:space="preserve"> Kč a je tvořena:</w:t>
      </w:r>
    </w:p>
    <w:p w:rsidR="00131160" w:rsidRPr="002E0EAD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A5060D">
        <w:rPr>
          <w:rFonts w:ascii="Arial" w:hAnsi="Arial" w:cs="Arial"/>
          <w:sz w:val="22"/>
          <w:szCs w:val="22"/>
        </w:rPr>
        <w:t>100</w:t>
      </w:r>
      <w:r w:rsidRPr="002E0EAD">
        <w:rPr>
          <w:rFonts w:ascii="Arial" w:hAnsi="Arial" w:cs="Arial"/>
          <w:sz w:val="22"/>
          <w:szCs w:val="22"/>
        </w:rPr>
        <w:t>,- Kč za kalendářní rok a</w:t>
      </w:r>
    </w:p>
    <w:p w:rsidR="00947AC1" w:rsidRDefault="00131160" w:rsidP="00CC7BE1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A5060D">
        <w:rPr>
          <w:rFonts w:ascii="Arial" w:hAnsi="Arial" w:cs="Arial"/>
          <w:sz w:val="22"/>
          <w:szCs w:val="22"/>
        </w:rPr>
        <w:t>500</w:t>
      </w:r>
      <w:r w:rsidRPr="002E0EAD">
        <w:rPr>
          <w:rFonts w:ascii="Arial" w:hAnsi="Arial" w:cs="Arial"/>
          <w:sz w:val="22"/>
          <w:szCs w:val="22"/>
        </w:rPr>
        <w:t xml:space="preserve">,- Kč za kalendářní rok. Tato částka je stanovena na základě skutečných nákladů obce předchozího </w:t>
      </w:r>
      <w:r w:rsidR="00732B10" w:rsidRPr="002E0EAD">
        <w:rPr>
          <w:rFonts w:ascii="Arial" w:hAnsi="Arial" w:cs="Arial"/>
          <w:sz w:val="22"/>
          <w:szCs w:val="22"/>
        </w:rPr>
        <w:t xml:space="preserve">kalendářního </w:t>
      </w:r>
      <w:r w:rsidRPr="002E0EAD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131160" w:rsidRPr="002E0EAD" w:rsidRDefault="00131160" w:rsidP="002871C2">
      <w:pPr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Skutečné náklady </w:t>
      </w:r>
      <w:r w:rsidR="008148C5" w:rsidRPr="002E0EAD">
        <w:rPr>
          <w:rFonts w:ascii="Arial" w:hAnsi="Arial" w:cs="Arial"/>
          <w:sz w:val="22"/>
          <w:szCs w:val="22"/>
        </w:rPr>
        <w:t>za rok</w:t>
      </w:r>
      <w:r w:rsidRPr="002E0EAD">
        <w:rPr>
          <w:rFonts w:ascii="Arial" w:hAnsi="Arial" w:cs="Arial"/>
          <w:sz w:val="22"/>
          <w:szCs w:val="22"/>
        </w:rPr>
        <w:t xml:space="preserve">  </w:t>
      </w:r>
      <w:r w:rsidR="00A5060D">
        <w:rPr>
          <w:rFonts w:ascii="Arial" w:hAnsi="Arial" w:cs="Arial"/>
          <w:sz w:val="22"/>
          <w:szCs w:val="22"/>
        </w:rPr>
        <w:t>2018</w:t>
      </w:r>
      <w:r w:rsidRPr="002E0EAD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 w:rsidR="0079131E">
        <w:rPr>
          <w:rFonts w:ascii="Arial" w:hAnsi="Arial" w:cs="Arial"/>
          <w:sz w:val="22"/>
          <w:szCs w:val="22"/>
        </w:rPr>
        <w:t>278193</w:t>
      </w:r>
      <w:r w:rsidR="0079131E">
        <w:rPr>
          <w:rFonts w:ascii="Arial" w:hAnsi="Arial" w:cs="Arial"/>
          <w:sz w:val="22"/>
          <w:szCs w:val="22"/>
        </w:rPr>
        <w:t>,-Kč</w:t>
      </w:r>
      <w:r w:rsidR="00A5060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a byly rozúčtovány takto:</w:t>
      </w:r>
    </w:p>
    <w:p w:rsidR="00131160" w:rsidRPr="002E0EAD" w:rsidRDefault="00131160" w:rsidP="006402B9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Náklady </w:t>
      </w:r>
      <w:r w:rsidR="00A5060D">
        <w:rPr>
          <w:rFonts w:ascii="Arial" w:hAnsi="Arial" w:cs="Arial"/>
          <w:sz w:val="22"/>
          <w:szCs w:val="22"/>
        </w:rPr>
        <w:t>278193</w:t>
      </w:r>
      <w:r w:rsidR="0079131E">
        <w:rPr>
          <w:rFonts w:ascii="Arial" w:hAnsi="Arial" w:cs="Arial"/>
          <w:sz w:val="22"/>
          <w:szCs w:val="22"/>
        </w:rPr>
        <w:t>,-Kč</w:t>
      </w:r>
      <w:r w:rsidRPr="002E0EAD">
        <w:rPr>
          <w:rFonts w:ascii="Arial" w:hAnsi="Arial" w:cs="Arial"/>
          <w:sz w:val="22"/>
          <w:szCs w:val="22"/>
        </w:rPr>
        <w:t xml:space="preserve"> děleno </w:t>
      </w:r>
      <w:r w:rsidR="00A5060D">
        <w:rPr>
          <w:rFonts w:ascii="Arial" w:hAnsi="Arial" w:cs="Arial"/>
          <w:sz w:val="22"/>
          <w:szCs w:val="22"/>
        </w:rPr>
        <w:t>424</w:t>
      </w:r>
      <w:r w:rsidRPr="002E0EAD">
        <w:rPr>
          <w:rFonts w:ascii="Arial" w:hAnsi="Arial" w:cs="Arial"/>
          <w:sz w:val="22"/>
          <w:szCs w:val="22"/>
        </w:rPr>
        <w:t xml:space="preserve">  (</w:t>
      </w:r>
      <w:r w:rsidR="00C95CA6">
        <w:rPr>
          <w:rFonts w:ascii="Arial" w:hAnsi="Arial" w:cs="Arial"/>
          <w:sz w:val="22"/>
          <w:szCs w:val="22"/>
        </w:rPr>
        <w:t xml:space="preserve">394 </w:t>
      </w:r>
      <w:r w:rsidR="00B47464" w:rsidRPr="002E0EAD">
        <w:rPr>
          <w:rFonts w:ascii="Arial" w:hAnsi="Arial" w:cs="Arial"/>
          <w:sz w:val="22"/>
          <w:szCs w:val="22"/>
        </w:rPr>
        <w:t xml:space="preserve">počet </w:t>
      </w:r>
      <w:r w:rsidR="007E04B6" w:rsidRPr="002E0EAD">
        <w:rPr>
          <w:rFonts w:ascii="Arial" w:hAnsi="Arial" w:cs="Arial"/>
          <w:sz w:val="22"/>
          <w:szCs w:val="22"/>
        </w:rPr>
        <w:t>přihlášených osob</w:t>
      </w:r>
      <w:r w:rsidRPr="002E0EAD">
        <w:rPr>
          <w:rFonts w:ascii="Arial" w:hAnsi="Arial" w:cs="Arial"/>
          <w:sz w:val="22"/>
          <w:szCs w:val="22"/>
        </w:rPr>
        <w:t xml:space="preserve"> na území obce + </w:t>
      </w:r>
      <w:r w:rsidR="00C95CA6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počet staveb určených k individuální rekreaci</w:t>
      </w:r>
      <w:r w:rsidR="00B47464" w:rsidRPr="002E0EAD">
        <w:rPr>
          <w:rFonts w:ascii="Arial" w:hAnsi="Arial" w:cs="Arial"/>
          <w:sz w:val="22"/>
          <w:szCs w:val="22"/>
        </w:rPr>
        <w:t xml:space="preserve">, bytů a rodinných domů, ve kterých není </w:t>
      </w:r>
      <w:r w:rsidR="007E04B6" w:rsidRPr="002E0EAD">
        <w:rPr>
          <w:rFonts w:ascii="Arial" w:hAnsi="Arial" w:cs="Arial"/>
          <w:sz w:val="22"/>
          <w:szCs w:val="22"/>
        </w:rPr>
        <w:t>přihlášena</w:t>
      </w:r>
      <w:r w:rsidR="00B47464" w:rsidRPr="002E0EAD">
        <w:rPr>
          <w:rFonts w:ascii="Arial" w:hAnsi="Arial" w:cs="Arial"/>
          <w:sz w:val="22"/>
          <w:szCs w:val="22"/>
        </w:rPr>
        <w:t xml:space="preserve"> žádná fyzická osoba</w:t>
      </w:r>
      <w:r w:rsidRPr="002E0EAD">
        <w:rPr>
          <w:rFonts w:ascii="Arial" w:hAnsi="Arial" w:cs="Arial"/>
          <w:sz w:val="22"/>
          <w:szCs w:val="22"/>
        </w:rPr>
        <w:t xml:space="preserve">) = </w:t>
      </w:r>
      <w:r w:rsidR="00A5060D">
        <w:rPr>
          <w:rFonts w:ascii="Arial" w:hAnsi="Arial" w:cs="Arial"/>
          <w:sz w:val="22"/>
          <w:szCs w:val="22"/>
        </w:rPr>
        <w:t>656</w:t>
      </w:r>
      <w:r w:rsidRPr="002E0EAD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 </w:t>
      </w:r>
      <w:r w:rsidR="00A5060D">
        <w:rPr>
          <w:rFonts w:ascii="Arial" w:hAnsi="Arial" w:cs="Arial"/>
          <w:sz w:val="22"/>
          <w:szCs w:val="22"/>
        </w:rPr>
        <w:t>500</w:t>
      </w:r>
      <w:r w:rsidR="0079131E">
        <w:rPr>
          <w:rFonts w:ascii="Arial" w:hAnsi="Arial" w:cs="Arial"/>
          <w:sz w:val="22"/>
          <w:szCs w:val="22"/>
        </w:rPr>
        <w:t>,-</w:t>
      </w:r>
      <w:r w:rsidRPr="002E0EAD">
        <w:rPr>
          <w:rFonts w:ascii="Arial" w:hAnsi="Arial" w:cs="Arial"/>
          <w:sz w:val="22"/>
          <w:szCs w:val="22"/>
        </w:rPr>
        <w:t xml:space="preserve">Kč. </w:t>
      </w:r>
    </w:p>
    <w:p w:rsidR="00131160" w:rsidRPr="002E0EAD" w:rsidRDefault="00131160" w:rsidP="002871C2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 případě změny </w:t>
      </w:r>
      <w:r w:rsidR="002E0EAD" w:rsidRPr="002E0EAD">
        <w:rPr>
          <w:rFonts w:ascii="Arial" w:hAnsi="Arial" w:cs="Arial"/>
          <w:sz w:val="22"/>
          <w:szCs w:val="22"/>
        </w:rPr>
        <w:t xml:space="preserve">místa </w:t>
      </w:r>
      <w:r w:rsidR="00826D2C" w:rsidRPr="002E0EAD">
        <w:rPr>
          <w:rFonts w:ascii="Arial" w:hAnsi="Arial" w:cs="Arial"/>
          <w:sz w:val="22"/>
          <w:szCs w:val="22"/>
        </w:rPr>
        <w:t xml:space="preserve">přihlášení </w:t>
      </w:r>
      <w:r w:rsidR="00A97118" w:rsidRPr="002E0EAD">
        <w:rPr>
          <w:rFonts w:ascii="Arial" w:hAnsi="Arial" w:cs="Arial"/>
          <w:sz w:val="22"/>
          <w:szCs w:val="22"/>
        </w:rPr>
        <w:t>fyzické osoby,</w:t>
      </w:r>
      <w:r w:rsidRPr="002E0EAD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2E0EAD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2E0EAD">
        <w:rPr>
          <w:rFonts w:ascii="Arial" w:hAnsi="Arial" w:cs="Arial"/>
          <w:sz w:val="22"/>
          <w:szCs w:val="22"/>
        </w:rPr>
        <w:t xml:space="preserve">omu </w:t>
      </w:r>
      <w:r w:rsidR="000408D0" w:rsidRPr="002E0EAD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 w:rsidRPr="002E0EAD">
        <w:rPr>
          <w:rFonts w:ascii="Arial" w:hAnsi="Arial" w:cs="Arial"/>
          <w:sz w:val="22"/>
          <w:szCs w:val="22"/>
        </w:rPr>
        <w:t>v průběhu kalendářního roku</w:t>
      </w:r>
      <w:r w:rsidR="00A97118" w:rsidRPr="002E0EAD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přihlášení</w:t>
      </w:r>
      <w:r w:rsidR="000408D0" w:rsidRPr="002E0EAD">
        <w:rPr>
          <w:rFonts w:ascii="Arial" w:hAnsi="Arial" w:cs="Arial"/>
          <w:sz w:val="22"/>
          <w:szCs w:val="22"/>
        </w:rPr>
        <w:t>,</w:t>
      </w:r>
      <w:r w:rsidR="00D122A6" w:rsidRPr="002E0EAD">
        <w:rPr>
          <w:rFonts w:ascii="Arial" w:hAnsi="Arial" w:cs="Arial"/>
          <w:sz w:val="22"/>
          <w:szCs w:val="22"/>
        </w:rPr>
        <w:t xml:space="preserve"> vlastnictví </w:t>
      </w:r>
      <w:r w:rsidR="000408D0" w:rsidRPr="002E0EAD">
        <w:rPr>
          <w:rFonts w:ascii="Arial" w:hAnsi="Arial" w:cs="Arial"/>
          <w:sz w:val="22"/>
          <w:szCs w:val="22"/>
        </w:rPr>
        <w:t xml:space="preserve">nebo umístění </w:t>
      </w:r>
      <w:r w:rsidR="00D122A6" w:rsidRPr="002E0EAD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jednorázově a to nejpozději do </w:t>
      </w:r>
      <w:r w:rsidR="00A5060D">
        <w:rPr>
          <w:rFonts w:ascii="Arial" w:hAnsi="Arial" w:cs="Arial"/>
          <w:sz w:val="22"/>
          <w:szCs w:val="22"/>
        </w:rPr>
        <w:t>30.5.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79131E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D5659B" w:rsidRPr="002E0EAD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2E0EAD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2E0EAD">
        <w:rPr>
          <w:rFonts w:ascii="Arial" w:hAnsi="Arial" w:cs="Arial"/>
          <w:b w:val="0"/>
          <w:sz w:val="22"/>
          <w:szCs w:val="22"/>
        </w:rPr>
        <w:t>, která je</w:t>
      </w:r>
      <w:r w:rsidR="00040EA6"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D5659B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2E0EAD">
        <w:rPr>
          <w:rFonts w:ascii="Arial" w:hAnsi="Arial" w:cs="Arial"/>
          <w:b w:val="0"/>
          <w:sz w:val="22"/>
          <w:szCs w:val="22"/>
        </w:rPr>
        <w:t>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5B47E4" w:rsidRPr="002E0EAD" w:rsidRDefault="005B47E4" w:rsidP="0096628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Údaj rozhodný pro </w:t>
      </w:r>
      <w:r w:rsidRPr="00756DD8">
        <w:rPr>
          <w:rFonts w:ascii="Arial" w:hAnsi="Arial" w:cs="Arial"/>
          <w:sz w:val="22"/>
          <w:szCs w:val="22"/>
        </w:rPr>
        <w:t>osvobození</w:t>
      </w:r>
      <w:r w:rsidRPr="002E0EAD">
        <w:rPr>
          <w:rFonts w:ascii="Arial" w:hAnsi="Arial" w:cs="Arial"/>
          <w:sz w:val="22"/>
          <w:szCs w:val="22"/>
        </w:rPr>
        <w:t xml:space="preserve"> dle odst.</w:t>
      </w:r>
      <w:r w:rsidR="00756DD8">
        <w:rPr>
          <w:rFonts w:ascii="Arial" w:hAnsi="Arial" w:cs="Arial"/>
          <w:sz w:val="22"/>
          <w:szCs w:val="22"/>
        </w:rPr>
        <w:t xml:space="preserve">1a,b,c </w:t>
      </w:r>
      <w:r w:rsidRPr="002E0EAD">
        <w:rPr>
          <w:rFonts w:ascii="Arial" w:hAnsi="Arial" w:cs="Arial"/>
          <w:color w:val="0070C0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tohoto článku je poplatník povinen ohlásit ve lhůtě do </w:t>
      </w:r>
      <w:r w:rsidR="00756DD8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 od skutečnosti zakládající nárok na osvobození.</w:t>
      </w:r>
    </w:p>
    <w:p w:rsidR="00966286" w:rsidRPr="002E0EAD" w:rsidRDefault="00966286" w:rsidP="0096628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3C791B" w:rsidRPr="002E0EAD">
        <w:rPr>
          <w:rFonts w:ascii="Arial" w:hAnsi="Arial" w:cs="Arial"/>
          <w:sz w:val="22"/>
          <w:szCs w:val="22"/>
        </w:rPr>
        <w:t>5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</w:t>
      </w:r>
      <w:r w:rsidR="005B47E4" w:rsidRPr="002E0EAD">
        <w:rPr>
          <w:rFonts w:ascii="Arial" w:hAnsi="Arial" w:cs="Arial"/>
          <w:sz w:val="22"/>
          <w:szCs w:val="22"/>
        </w:rPr>
        <w:t xml:space="preserve">ve lhůtách </w:t>
      </w:r>
      <w:r w:rsidR="00DA614B" w:rsidRPr="002E0EAD">
        <w:rPr>
          <w:rFonts w:ascii="Arial" w:hAnsi="Arial" w:cs="Arial"/>
          <w:sz w:val="22"/>
          <w:szCs w:val="22"/>
        </w:rPr>
        <w:t xml:space="preserve">stanovených </w:t>
      </w:r>
      <w:r w:rsidR="00B82D08">
        <w:rPr>
          <w:rFonts w:ascii="Arial" w:hAnsi="Arial" w:cs="Arial"/>
          <w:sz w:val="22"/>
          <w:szCs w:val="22"/>
        </w:rPr>
        <w:t xml:space="preserve">touto </w:t>
      </w:r>
      <w:r w:rsidR="00DA614B" w:rsidRPr="002E0EAD">
        <w:rPr>
          <w:rFonts w:ascii="Arial" w:hAnsi="Arial" w:cs="Arial"/>
          <w:sz w:val="22"/>
          <w:szCs w:val="22"/>
        </w:rPr>
        <w:t>vyhláškou nebo zákonem</w:t>
      </w:r>
      <w:r w:rsidR="00743081" w:rsidRPr="002E0EAD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nárok na osvobození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 xml:space="preserve">a byl mu jmenován opatrovník spravující jeho jmění, přechází poplatková povinnost </w:t>
      </w:r>
      <w:r w:rsidRPr="002E0EAD">
        <w:rPr>
          <w:rFonts w:ascii="Arial" w:hAnsi="Arial" w:cs="Arial"/>
          <w:sz w:val="22"/>
          <w:szCs w:val="22"/>
        </w:rPr>
        <w:lastRenderedPageBreak/>
        <w:t>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9</w:t>
      </w:r>
    </w:p>
    <w:p w:rsidR="00131160" w:rsidRPr="002E0EAD" w:rsidRDefault="00EE07B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Přechodné </w:t>
      </w:r>
      <w:r w:rsidR="00A05EA6" w:rsidRPr="002E0EAD">
        <w:rPr>
          <w:rFonts w:ascii="Arial" w:hAnsi="Arial" w:cs="Arial"/>
        </w:rPr>
        <w:t xml:space="preserve">a </w:t>
      </w:r>
      <w:r w:rsidRPr="002E0EAD">
        <w:rPr>
          <w:rFonts w:ascii="Arial" w:hAnsi="Arial" w:cs="Arial"/>
        </w:rPr>
        <w:t>z</w:t>
      </w:r>
      <w:r w:rsidR="00131160" w:rsidRPr="002E0EAD">
        <w:rPr>
          <w:rFonts w:ascii="Arial" w:hAnsi="Arial" w:cs="Arial"/>
        </w:rPr>
        <w:t>rušovací ustanovení</w:t>
      </w:r>
    </w:p>
    <w:p w:rsidR="008D6906" w:rsidRPr="002E0EAD" w:rsidRDefault="008D6906" w:rsidP="008D6906">
      <w:pPr>
        <w:numPr>
          <w:ilvl w:val="0"/>
          <w:numId w:val="2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Zrušuje se obecně závazná vyhláška č</w:t>
      </w:r>
      <w:r w:rsidR="00756DD8">
        <w:rPr>
          <w:rFonts w:ascii="Arial" w:hAnsi="Arial" w:cs="Arial"/>
          <w:sz w:val="22"/>
          <w:szCs w:val="22"/>
        </w:rPr>
        <w:t>.9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756DD8" w:rsidRPr="00756DD8">
        <w:rPr>
          <w:rFonts w:ascii="Arial" w:hAnsi="Arial" w:cs="Arial"/>
          <w:sz w:val="22"/>
          <w:szCs w:val="22"/>
        </w:rPr>
        <w:t xml:space="preserve">2013 </w:t>
      </w:r>
      <w:hyperlink r:id="rId8" w:history="1">
        <w:r w:rsidR="00756DD8" w:rsidRPr="00756DD8">
          <w:rPr>
            <w:rFonts w:ascii="Arial" w:hAnsi="Arial" w:cs="Arial"/>
            <w:sz w:val="22"/>
            <w:szCs w:val="22"/>
          </w:rPr>
          <w:t>Vyhláška o místním poplatku za provoz systému shromažďování, sběru, přepravy, třídění, využívání a odstraňování komunálního odpadu</w:t>
        </w:r>
      </w:hyperlink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756DD8">
        <w:rPr>
          <w:rFonts w:ascii="Arial" w:hAnsi="Arial" w:cs="Arial"/>
          <w:i/>
          <w:sz w:val="22"/>
          <w:szCs w:val="22"/>
        </w:rPr>
        <w:t>19.9.2013</w:t>
      </w:r>
    </w:p>
    <w:p w:rsidR="00EE07B0" w:rsidRPr="002E0EAD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10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162E5">
        <w:rPr>
          <w:rFonts w:ascii="Arial" w:hAnsi="Arial" w:cs="Arial"/>
          <w:sz w:val="22"/>
          <w:szCs w:val="22"/>
        </w:rPr>
        <w:t>1. ledna 2020.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A44FC" w:rsidRPr="002D0857" w:rsidRDefault="00BA44FC" w:rsidP="00BA44FC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D0857">
        <w:rPr>
          <w:rFonts w:ascii="Arial" w:hAnsi="Arial" w:cs="Arial"/>
          <w:i/>
        </w:rPr>
        <w:t>Podpis</w:t>
      </w:r>
      <w:r w:rsidRPr="002D0857">
        <w:rPr>
          <w:rFonts w:ascii="Arial" w:hAnsi="Arial" w:cs="Arial"/>
          <w:i/>
        </w:rPr>
        <w:tab/>
        <w:t>Podpis</w:t>
      </w:r>
    </w:p>
    <w:p w:rsidR="00BA44FC" w:rsidRPr="002D0857" w:rsidRDefault="00BA44FC" w:rsidP="00BA44FC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D0857">
        <w:rPr>
          <w:rFonts w:ascii="Arial" w:hAnsi="Arial" w:cs="Arial"/>
          <w:i/>
        </w:rPr>
        <w:t>...................................</w:t>
      </w:r>
      <w:r w:rsidRPr="002D0857">
        <w:rPr>
          <w:rFonts w:ascii="Arial" w:hAnsi="Arial" w:cs="Arial"/>
          <w:i/>
        </w:rPr>
        <w:tab/>
        <w:t>..........................................</w:t>
      </w:r>
    </w:p>
    <w:p w:rsidR="00BA44FC" w:rsidRPr="002D0857" w:rsidRDefault="00BA44FC" w:rsidP="00BA44FC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</w:r>
      <w:r w:rsidR="00E16A6F">
        <w:rPr>
          <w:rFonts w:ascii="Arial" w:hAnsi="Arial" w:cs="Arial"/>
        </w:rPr>
        <w:t>Rostislav Němec</w:t>
      </w:r>
      <w:r w:rsidRPr="002D0857">
        <w:rPr>
          <w:rFonts w:ascii="Arial" w:hAnsi="Arial" w:cs="Arial"/>
        </w:rPr>
        <w:t xml:space="preserve"> </w:t>
      </w:r>
      <w:r w:rsidRPr="002D0857">
        <w:rPr>
          <w:rFonts w:ascii="Arial" w:hAnsi="Arial" w:cs="Arial"/>
        </w:rPr>
        <w:tab/>
      </w:r>
      <w:r w:rsidR="00E16A6F">
        <w:rPr>
          <w:rFonts w:ascii="Arial" w:hAnsi="Arial" w:cs="Arial"/>
        </w:rPr>
        <w:t>Tomáš Zachoval, Dana Žižková</w:t>
      </w:r>
    </w:p>
    <w:p w:rsidR="00BA44FC" w:rsidRPr="002D0857" w:rsidRDefault="00BA44FC" w:rsidP="00BA44FC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  <w:t>starosta</w:t>
      </w:r>
      <w:r w:rsidRPr="002D0857">
        <w:rPr>
          <w:rFonts w:ascii="Arial" w:hAnsi="Arial" w:cs="Arial"/>
        </w:rPr>
        <w:tab/>
      </w:r>
      <w:r w:rsidR="00E16A6F">
        <w:rPr>
          <w:rFonts w:ascii="Arial" w:hAnsi="Arial" w:cs="Arial"/>
        </w:rPr>
        <w:t>místo</w:t>
      </w:r>
      <w:r w:rsidRPr="002D0857">
        <w:rPr>
          <w:rFonts w:ascii="Arial" w:hAnsi="Arial" w:cs="Arial"/>
        </w:rPr>
        <w:t>starosta</w:t>
      </w:r>
    </w:p>
    <w:p w:rsidR="00BA44FC" w:rsidRDefault="00BA44FC" w:rsidP="00BA44F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BA44FC" w:rsidRDefault="00BA44FC" w:rsidP="00BA44FC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E16A6F">
        <w:rPr>
          <w:rFonts w:ascii="Arial" w:hAnsi="Arial" w:cs="Arial"/>
          <w:sz w:val="22"/>
          <w:szCs w:val="22"/>
        </w:rPr>
        <w:t xml:space="preserve"> 16.12.2019</w:t>
      </w:r>
    </w:p>
    <w:p w:rsidR="00BA44FC" w:rsidRDefault="00BA44FC" w:rsidP="00BA44F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756DD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16A6F">
        <w:rPr>
          <w:rFonts w:ascii="Arial" w:hAnsi="Arial" w:cs="Arial"/>
          <w:sz w:val="22"/>
          <w:szCs w:val="22"/>
        </w:rPr>
        <w:t>2.1.2020</w:t>
      </w:r>
    </w:p>
    <w:p w:rsidR="00BA44FC" w:rsidRPr="000C2DC4" w:rsidRDefault="00BA44FC" w:rsidP="00BA44FC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0162E5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p w:rsidR="000162E5" w:rsidRPr="000162E5" w:rsidRDefault="000162E5" w:rsidP="00BA44FC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sectPr w:rsidR="000162E5" w:rsidRPr="000162E5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46" w:rsidRDefault="00FC7546">
      <w:r>
        <w:separator/>
      </w:r>
    </w:p>
  </w:endnote>
  <w:endnote w:type="continuationSeparator" w:id="0">
    <w:p w:rsidR="00FC7546" w:rsidRDefault="00FC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E65FA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56DD8">
      <w:rPr>
        <w:noProof/>
      </w:rPr>
      <w:t>4</w:t>
    </w:r>
    <w:r>
      <w:rPr>
        <w:noProof/>
      </w:rP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46" w:rsidRDefault="00FC7546">
      <w:r>
        <w:separator/>
      </w:r>
    </w:p>
  </w:footnote>
  <w:footnote w:type="continuationSeparator" w:id="0">
    <w:p w:rsidR="00FC7546" w:rsidRDefault="00FC7546">
      <w:r>
        <w:continuationSeparator/>
      </w:r>
    </w:p>
  </w:footnote>
  <w:footnote w:id="1">
    <w:p w:rsidR="009D02DA" w:rsidRPr="00BD6700" w:rsidRDefault="009D02DA" w:rsidP="009D02D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AF11D4" w:rsidRDefault="00AF11D4" w:rsidP="00AF11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040EA6" w:rsidRDefault="00040E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BA1E8D" w:rsidRPr="00BA1E8D" w:rsidRDefault="00BA1E8D" w:rsidP="00BA1E8D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 w:rsidR="007E04B6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8"/>
  </w:num>
  <w:num w:numId="20">
    <w:abstractNumId w:val="13"/>
  </w:num>
  <w:num w:numId="21">
    <w:abstractNumId w:val="16"/>
  </w:num>
  <w:num w:numId="22">
    <w:abstractNumId w:val="2"/>
  </w:num>
  <w:num w:numId="23">
    <w:abstractNumId w:val="2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10B51"/>
    <w:rsid w:val="000129AF"/>
    <w:rsid w:val="000162E5"/>
    <w:rsid w:val="000166A8"/>
    <w:rsid w:val="00017B56"/>
    <w:rsid w:val="000345D5"/>
    <w:rsid w:val="000408D0"/>
    <w:rsid w:val="00040EA6"/>
    <w:rsid w:val="000538DD"/>
    <w:rsid w:val="000566F2"/>
    <w:rsid w:val="00066D7D"/>
    <w:rsid w:val="00083621"/>
    <w:rsid w:val="000940DC"/>
    <w:rsid w:val="000A2391"/>
    <w:rsid w:val="000A53C3"/>
    <w:rsid w:val="000C002A"/>
    <w:rsid w:val="000C42D4"/>
    <w:rsid w:val="000C53F6"/>
    <w:rsid w:val="000C758D"/>
    <w:rsid w:val="000D3E28"/>
    <w:rsid w:val="000E741B"/>
    <w:rsid w:val="001061CD"/>
    <w:rsid w:val="00125EC7"/>
    <w:rsid w:val="00130094"/>
    <w:rsid w:val="00131160"/>
    <w:rsid w:val="00140487"/>
    <w:rsid w:val="0014154F"/>
    <w:rsid w:val="001465CC"/>
    <w:rsid w:val="00154BC3"/>
    <w:rsid w:val="00160729"/>
    <w:rsid w:val="0016338A"/>
    <w:rsid w:val="00170FAF"/>
    <w:rsid w:val="00173886"/>
    <w:rsid w:val="00190222"/>
    <w:rsid w:val="00191186"/>
    <w:rsid w:val="001A0C3C"/>
    <w:rsid w:val="001B36E4"/>
    <w:rsid w:val="001B6CD8"/>
    <w:rsid w:val="001C1953"/>
    <w:rsid w:val="001E0982"/>
    <w:rsid w:val="001E74A9"/>
    <w:rsid w:val="001F7B84"/>
    <w:rsid w:val="002041CE"/>
    <w:rsid w:val="002275D5"/>
    <w:rsid w:val="002333C1"/>
    <w:rsid w:val="0024485C"/>
    <w:rsid w:val="0025107F"/>
    <w:rsid w:val="00260886"/>
    <w:rsid w:val="00264B52"/>
    <w:rsid w:val="00264E4B"/>
    <w:rsid w:val="002666C2"/>
    <w:rsid w:val="0027609E"/>
    <w:rsid w:val="002871C2"/>
    <w:rsid w:val="002A3A42"/>
    <w:rsid w:val="002C0C5C"/>
    <w:rsid w:val="002D1965"/>
    <w:rsid w:val="002D30C0"/>
    <w:rsid w:val="002E0EAD"/>
    <w:rsid w:val="002E6E4A"/>
    <w:rsid w:val="002F3690"/>
    <w:rsid w:val="002F4189"/>
    <w:rsid w:val="00300CCD"/>
    <w:rsid w:val="00302A97"/>
    <w:rsid w:val="00304575"/>
    <w:rsid w:val="00322107"/>
    <w:rsid w:val="003310BE"/>
    <w:rsid w:val="0033112D"/>
    <w:rsid w:val="003338CC"/>
    <w:rsid w:val="00362A72"/>
    <w:rsid w:val="00371501"/>
    <w:rsid w:val="00375754"/>
    <w:rsid w:val="00383E0E"/>
    <w:rsid w:val="00384D76"/>
    <w:rsid w:val="0038599B"/>
    <w:rsid w:val="003911AE"/>
    <w:rsid w:val="003958C3"/>
    <w:rsid w:val="003A74F6"/>
    <w:rsid w:val="003B2625"/>
    <w:rsid w:val="003B4C7B"/>
    <w:rsid w:val="003C0C49"/>
    <w:rsid w:val="003C2D77"/>
    <w:rsid w:val="003C791B"/>
    <w:rsid w:val="003D33EB"/>
    <w:rsid w:val="003D4A9F"/>
    <w:rsid w:val="003E3347"/>
    <w:rsid w:val="003E7159"/>
    <w:rsid w:val="00402CA3"/>
    <w:rsid w:val="00412321"/>
    <w:rsid w:val="00420423"/>
    <w:rsid w:val="00421292"/>
    <w:rsid w:val="00421C92"/>
    <w:rsid w:val="0042639F"/>
    <w:rsid w:val="004863D0"/>
    <w:rsid w:val="004B1994"/>
    <w:rsid w:val="004B4A8E"/>
    <w:rsid w:val="004C0427"/>
    <w:rsid w:val="004C0C90"/>
    <w:rsid w:val="004D0316"/>
    <w:rsid w:val="004E2C06"/>
    <w:rsid w:val="004F6539"/>
    <w:rsid w:val="00500A52"/>
    <w:rsid w:val="00504C32"/>
    <w:rsid w:val="00515084"/>
    <w:rsid w:val="00546241"/>
    <w:rsid w:val="00550C8C"/>
    <w:rsid w:val="005620CD"/>
    <w:rsid w:val="005736D7"/>
    <w:rsid w:val="00576D09"/>
    <w:rsid w:val="005867F5"/>
    <w:rsid w:val="005B3A3F"/>
    <w:rsid w:val="005B47E4"/>
    <w:rsid w:val="005C4381"/>
    <w:rsid w:val="005D3C5A"/>
    <w:rsid w:val="005D4726"/>
    <w:rsid w:val="005E2958"/>
    <w:rsid w:val="005E7B72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79FA"/>
    <w:rsid w:val="0067325B"/>
    <w:rsid w:val="00675992"/>
    <w:rsid w:val="00695493"/>
    <w:rsid w:val="006E6EB8"/>
    <w:rsid w:val="006F6C96"/>
    <w:rsid w:val="007005F7"/>
    <w:rsid w:val="00700827"/>
    <w:rsid w:val="007165A1"/>
    <w:rsid w:val="00722383"/>
    <w:rsid w:val="00732B10"/>
    <w:rsid w:val="0073417D"/>
    <w:rsid w:val="007342A5"/>
    <w:rsid w:val="00743081"/>
    <w:rsid w:val="0074717E"/>
    <w:rsid w:val="00756DD8"/>
    <w:rsid w:val="0076252F"/>
    <w:rsid w:val="0076572C"/>
    <w:rsid w:val="007746D8"/>
    <w:rsid w:val="00776E64"/>
    <w:rsid w:val="007834F2"/>
    <w:rsid w:val="0079131E"/>
    <w:rsid w:val="0079573C"/>
    <w:rsid w:val="007A403B"/>
    <w:rsid w:val="007A4E58"/>
    <w:rsid w:val="007A65BA"/>
    <w:rsid w:val="007A6850"/>
    <w:rsid w:val="007B0F3E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97430"/>
    <w:rsid w:val="008A2F12"/>
    <w:rsid w:val="008B0A2C"/>
    <w:rsid w:val="008D6906"/>
    <w:rsid w:val="008E43B1"/>
    <w:rsid w:val="008F3152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D02DA"/>
    <w:rsid w:val="009D0F92"/>
    <w:rsid w:val="009D1457"/>
    <w:rsid w:val="009D238D"/>
    <w:rsid w:val="009D39EA"/>
    <w:rsid w:val="009E0512"/>
    <w:rsid w:val="009E26C9"/>
    <w:rsid w:val="009F3901"/>
    <w:rsid w:val="009F75C6"/>
    <w:rsid w:val="00A05EA6"/>
    <w:rsid w:val="00A318A9"/>
    <w:rsid w:val="00A32AB3"/>
    <w:rsid w:val="00A418F6"/>
    <w:rsid w:val="00A427B9"/>
    <w:rsid w:val="00A5060D"/>
    <w:rsid w:val="00A55621"/>
    <w:rsid w:val="00A74D9D"/>
    <w:rsid w:val="00A76680"/>
    <w:rsid w:val="00A97118"/>
    <w:rsid w:val="00AA6703"/>
    <w:rsid w:val="00AB0CB0"/>
    <w:rsid w:val="00AB30F4"/>
    <w:rsid w:val="00AB44BF"/>
    <w:rsid w:val="00AC18A4"/>
    <w:rsid w:val="00AD1777"/>
    <w:rsid w:val="00AD79BB"/>
    <w:rsid w:val="00AD7BCB"/>
    <w:rsid w:val="00AF0AC9"/>
    <w:rsid w:val="00AF11D4"/>
    <w:rsid w:val="00AF41F3"/>
    <w:rsid w:val="00B0176F"/>
    <w:rsid w:val="00B0476F"/>
    <w:rsid w:val="00B0696E"/>
    <w:rsid w:val="00B0781C"/>
    <w:rsid w:val="00B10E4F"/>
    <w:rsid w:val="00B36221"/>
    <w:rsid w:val="00B369A7"/>
    <w:rsid w:val="00B47464"/>
    <w:rsid w:val="00B63BFF"/>
    <w:rsid w:val="00B71306"/>
    <w:rsid w:val="00B75719"/>
    <w:rsid w:val="00B806F8"/>
    <w:rsid w:val="00B82D08"/>
    <w:rsid w:val="00B86441"/>
    <w:rsid w:val="00BA1E8D"/>
    <w:rsid w:val="00BA44FC"/>
    <w:rsid w:val="00BB3316"/>
    <w:rsid w:val="00BC17DA"/>
    <w:rsid w:val="00BC3CDA"/>
    <w:rsid w:val="00C17467"/>
    <w:rsid w:val="00C31C1A"/>
    <w:rsid w:val="00C35B6D"/>
    <w:rsid w:val="00C53646"/>
    <w:rsid w:val="00C54C28"/>
    <w:rsid w:val="00C63342"/>
    <w:rsid w:val="00C6548E"/>
    <w:rsid w:val="00C67504"/>
    <w:rsid w:val="00C77181"/>
    <w:rsid w:val="00C863F8"/>
    <w:rsid w:val="00C94444"/>
    <w:rsid w:val="00C95CA6"/>
    <w:rsid w:val="00CC0853"/>
    <w:rsid w:val="00CC3E8C"/>
    <w:rsid w:val="00CC740B"/>
    <w:rsid w:val="00CC7BE1"/>
    <w:rsid w:val="00CD64EA"/>
    <w:rsid w:val="00CD7144"/>
    <w:rsid w:val="00CD7CB8"/>
    <w:rsid w:val="00CE15B3"/>
    <w:rsid w:val="00D122A6"/>
    <w:rsid w:val="00D14B0D"/>
    <w:rsid w:val="00D2283E"/>
    <w:rsid w:val="00D238A1"/>
    <w:rsid w:val="00D2664B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614B"/>
    <w:rsid w:val="00DB2C2A"/>
    <w:rsid w:val="00DB2E35"/>
    <w:rsid w:val="00DB76C7"/>
    <w:rsid w:val="00DC09AE"/>
    <w:rsid w:val="00DC5344"/>
    <w:rsid w:val="00DD0001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A6F"/>
    <w:rsid w:val="00E16F29"/>
    <w:rsid w:val="00E200CC"/>
    <w:rsid w:val="00E244C7"/>
    <w:rsid w:val="00E269DD"/>
    <w:rsid w:val="00E40C1C"/>
    <w:rsid w:val="00E52060"/>
    <w:rsid w:val="00E55843"/>
    <w:rsid w:val="00E60EC7"/>
    <w:rsid w:val="00E633AD"/>
    <w:rsid w:val="00E639E1"/>
    <w:rsid w:val="00E64A72"/>
    <w:rsid w:val="00E65FA4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51F7D"/>
    <w:rsid w:val="00F53039"/>
    <w:rsid w:val="00F55DE6"/>
    <w:rsid w:val="00F716C9"/>
    <w:rsid w:val="00F8166C"/>
    <w:rsid w:val="00F91DE1"/>
    <w:rsid w:val="00FB319D"/>
    <w:rsid w:val="00FB336E"/>
    <w:rsid w:val="00FC7546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AC34B4-3CF7-4842-95BB-164F07CE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E16A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1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ecchlumi-obec.cz/file.php?nid=413&amp;oid=72009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6C87-E901-4F14-9D20-F691F962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1134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Obec Konecchlumi</cp:lastModifiedBy>
  <cp:revision>3</cp:revision>
  <cp:lastPrinted>2019-12-13T15:48:00Z</cp:lastPrinted>
  <dcterms:created xsi:type="dcterms:W3CDTF">2019-12-13T15:53:00Z</dcterms:created>
  <dcterms:modified xsi:type="dcterms:W3CDTF">2019-12-19T17:22:00Z</dcterms:modified>
</cp:coreProperties>
</file>